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5648"/>
      </w:tblGrid>
      <w:tr>
        <w:trPr>
          <w:trHeight w:val="1334"/>
        </w:trPr>
        <w:tc>
          <w:tcPr>
            <w:tcW w:w="3652" w:type="dxa"/>
          </w:tcPr>
          <w:p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Mainz Meta" w:hAnsi="Mainz Meta"/>
                <w:szCs w:val="24"/>
                <w:lang w:val="en-US"/>
              </w:rPr>
            </w:pPr>
            <w:r>
              <w:rPr>
                <w:rFonts w:ascii="Mainz Meta" w:hAnsi="Mainz Meta"/>
                <w:noProof/>
                <w:szCs w:val="24"/>
              </w:rPr>
              <w:drawing>
                <wp:inline distT="0" distB="0" distL="0" distR="0">
                  <wp:extent cx="1801368" cy="548640"/>
                  <wp:effectExtent l="0" t="0" r="889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K_LogoSW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Mainz Meta" w:hAnsi="Mainz Meta"/>
                <w:b/>
                <w:bCs/>
                <w:sz w:val="40"/>
                <w:szCs w:val="24"/>
                <w:lang w:val="en-US"/>
              </w:rPr>
            </w:pPr>
            <w:proofErr w:type="spellStart"/>
            <w:r>
              <w:rPr>
                <w:rFonts w:ascii="Mainz Meta" w:hAnsi="Mainz Meta"/>
                <w:b/>
                <w:bCs/>
                <w:sz w:val="40"/>
                <w:szCs w:val="24"/>
                <w:lang w:val="en-US"/>
              </w:rPr>
              <w:t>Titel</w:t>
            </w:r>
            <w:proofErr w:type="spellEnd"/>
          </w:p>
          <w:p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Mainz Meta" w:hAnsi="Mainz Meta"/>
                <w:bCs/>
                <w:szCs w:val="24"/>
                <w:lang w:val="en-US"/>
              </w:rPr>
            </w:pPr>
          </w:p>
          <w:p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Mainz Meta" w:hAnsi="Mainz Meta"/>
                <w:bCs/>
                <w:szCs w:val="24"/>
                <w:lang w:val="en-US"/>
              </w:rPr>
            </w:pPr>
            <w:r>
              <w:rPr>
                <w:rFonts w:ascii="Mainz Meta" w:hAnsi="Mainz Meta"/>
                <w:bCs/>
                <w:szCs w:val="24"/>
                <w:lang w:val="en-US"/>
              </w:rPr>
              <w:t xml:space="preserve">TT.MM.YYYY, 18.30 </w:t>
            </w:r>
            <w:proofErr w:type="spellStart"/>
            <w:r>
              <w:rPr>
                <w:rFonts w:ascii="Mainz Meta" w:hAnsi="Mainz Meta"/>
                <w:bCs/>
                <w:szCs w:val="24"/>
                <w:lang w:val="en-US"/>
              </w:rPr>
              <w:t>Uhr</w:t>
            </w:r>
            <w:proofErr w:type="spellEnd"/>
            <w:r>
              <w:rPr>
                <w:rFonts w:ascii="Mainz Meta" w:hAnsi="Mainz Meta"/>
                <w:bCs/>
                <w:szCs w:val="24"/>
                <w:lang w:val="en-US"/>
              </w:rPr>
              <w:t>, Cornelius-</w:t>
            </w:r>
            <w:proofErr w:type="spellStart"/>
            <w:r>
              <w:rPr>
                <w:rFonts w:ascii="Mainz Meta" w:hAnsi="Mainz Meta"/>
                <w:bCs/>
                <w:szCs w:val="24"/>
                <w:lang w:val="en-US"/>
              </w:rPr>
              <w:t>Saal</w:t>
            </w:r>
            <w:proofErr w:type="spellEnd"/>
          </w:p>
          <w:p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Mainz Meta" w:hAnsi="Mainz Meta"/>
                <w:bCs/>
                <w:szCs w:val="24"/>
                <w:lang w:val="en-US"/>
              </w:rPr>
            </w:pPr>
          </w:p>
        </w:tc>
      </w:tr>
      <w:tr>
        <w:trPr>
          <w:trHeight w:val="319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>Georg Philipp Telemann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>(1681–1767)</w:t>
            </w:r>
          </w:p>
        </w:tc>
        <w:tc>
          <w:tcPr>
            <w:tcW w:w="5648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 xml:space="preserve">12 </w:t>
            </w:r>
            <w:proofErr w:type="spellStart"/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>kleine</w:t>
            </w:r>
            <w:proofErr w:type="spellEnd"/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>Fantasien</w:t>
            </w:r>
            <w:proofErr w:type="spellEnd"/>
          </w:p>
          <w:p>
            <w:pPr>
              <w:spacing w:after="0" w:line="240" w:lineRule="auto"/>
              <w:ind w:left="346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 xml:space="preserve">IIX. </w:t>
            </w:r>
            <w:proofErr w:type="spellStart"/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>Vivace</w:t>
            </w:r>
            <w:proofErr w:type="spellEnd"/>
            <w:r>
              <w:rPr>
                <w:rFonts w:ascii="Mainz Meta" w:eastAsia="Times New Roman" w:hAnsi="Mainz Meta" w:cs="Calibri"/>
                <w:iCs/>
                <w:color w:val="auto"/>
                <w:lang w:val="en-US"/>
              </w:rPr>
              <w:t xml:space="preserve"> – Cantabile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Calibri"/>
                <w:bCs/>
                <w:color w:val="auto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</w:rPr>
              <w:t>Carl Maria von Weber</w:t>
            </w:r>
          </w:p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</w:rPr>
              <w:t>(1786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eastAsia="Times New Roman" w:hAnsi="Mainz Meta" w:cs="Calibri"/>
                <w:bCs/>
                <w:color w:val="auto"/>
              </w:rPr>
              <w:t>1826)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Calibri"/>
                <w:bCs/>
                <w:color w:val="auto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</w:rPr>
              <w:t xml:space="preserve">Adagio </w:t>
            </w:r>
            <w:proofErr w:type="spellStart"/>
            <w:r>
              <w:rPr>
                <w:rFonts w:ascii="Mainz Meta" w:eastAsia="Times New Roman" w:hAnsi="Mainz Meta" w:cs="Calibri"/>
                <w:bCs/>
                <w:color w:val="auto"/>
              </w:rPr>
              <w:t>patetico</w:t>
            </w:r>
            <w:proofErr w:type="spellEnd"/>
            <w:r>
              <w:rPr>
                <w:rFonts w:ascii="Mainz Meta" w:eastAsia="Times New Roman" w:hAnsi="Mainz Meta" w:cs="Calibri"/>
                <w:bCs/>
                <w:color w:val="auto"/>
              </w:rPr>
              <w:t>, cis-Moll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alibri"/>
                <w:color w:val="auto"/>
              </w:rPr>
            </w:pPr>
            <w:r>
              <w:rPr>
                <w:rFonts w:ascii="Mainz Meta" w:hAnsi="Mainz Meta" w:cs="Calibri"/>
                <w:color w:val="auto"/>
              </w:rPr>
              <w:t xml:space="preserve">Joaquín </w:t>
            </w:r>
            <w:proofErr w:type="spellStart"/>
            <w:r>
              <w:rPr>
                <w:rFonts w:ascii="Mainz Meta" w:hAnsi="Mainz Meta" w:cs="Calibri"/>
                <w:color w:val="auto"/>
              </w:rPr>
              <w:t>Turina</w:t>
            </w:r>
            <w:proofErr w:type="spellEnd"/>
          </w:p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hAnsi="Mainz Meta" w:cs="Calibri"/>
                <w:color w:val="auto"/>
              </w:rPr>
              <w:t>(1882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hAnsi="Mainz Meta" w:cs="Calibri"/>
                <w:color w:val="auto"/>
              </w:rPr>
              <w:t>1949)</w:t>
            </w:r>
          </w:p>
        </w:tc>
        <w:tc>
          <w:tcPr>
            <w:tcW w:w="5648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color w:val="auto"/>
                <w:lang w:val="en-US"/>
              </w:rPr>
              <w:t xml:space="preserve">Der </w:t>
            </w:r>
            <w:proofErr w:type="spellStart"/>
            <w:r>
              <w:rPr>
                <w:rFonts w:ascii="Mainz Meta" w:eastAsia="Times New Roman" w:hAnsi="Mainz Meta" w:cs="Calibri"/>
                <w:color w:val="auto"/>
                <w:lang w:val="en-US"/>
              </w:rPr>
              <w:t>Zirkus</w:t>
            </w:r>
            <w:proofErr w:type="spellEnd"/>
          </w:p>
          <w:p>
            <w:pPr>
              <w:spacing w:after="0" w:line="240" w:lineRule="auto"/>
              <w:ind w:left="488" w:hanging="142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color w:val="auto"/>
                <w:lang w:val="en-US"/>
              </w:rPr>
              <w:t>V. Clowns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</w:pP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 xml:space="preserve">Jean-Henry </w:t>
            </w:r>
            <w:proofErr w:type="spellStart"/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Lemoine</w:t>
            </w:r>
            <w:proofErr w:type="spellEnd"/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</w:pP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 xml:space="preserve">( 1786–1854 )  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Etüde C-Dur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  <w:i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/>
                <w:i/>
              </w:rPr>
            </w:pP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</w:pP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 xml:space="preserve">Ludvig </w:t>
            </w:r>
            <w:proofErr w:type="spellStart"/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Schytte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</w:pP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(1848–1909)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Etüde a-Moll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  <w:i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/>
                <w:i/>
              </w:rPr>
            </w:pP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 xml:space="preserve">Felix Mendelssohn-Bartholdy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(1809–1847)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Lied ohne Wörter op. 30, 6 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  <w:i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/>
                <w:i/>
              </w:rPr>
            </w:pP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/>
              </w:rPr>
            </w:pPr>
            <w:r>
              <w:rPr>
                <w:rFonts w:ascii="Mainz Meta" w:hAnsi="Mainz Meta"/>
              </w:rPr>
              <w:t xml:space="preserve">Ukrainisches Volkslied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/>
              </w:rPr>
            </w:pPr>
            <w:proofErr w:type="spellStart"/>
            <w:r>
              <w:rPr>
                <w:rFonts w:ascii="Mainz Meta" w:hAnsi="Mainz Meta"/>
              </w:rPr>
              <w:t>arr</w:t>
            </w:r>
            <w:proofErr w:type="spellEnd"/>
            <w:r>
              <w:rPr>
                <w:rFonts w:ascii="Mainz Meta" w:hAnsi="Mainz Meta"/>
              </w:rPr>
              <w:t xml:space="preserve">. Mykola Lysenko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(1842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hAnsi="Mainz Meta"/>
              </w:rPr>
              <w:t>1912)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"Oh, auf dem Berg, auf dem Berg"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/>
              </w:rPr>
            </w:pPr>
            <w:r>
              <w:rPr>
                <w:rFonts w:ascii="Mainz Meta" w:hAnsi="Mainz Meta"/>
              </w:rPr>
              <w:t>Carl Czerny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(1791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hAnsi="Mainz Meta"/>
              </w:rPr>
              <w:t>1857)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/>
              </w:rPr>
              <w:t>Etüde G-Dur </w:t>
            </w: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/>
                <w:i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/>
                <w:i/>
              </w:rPr>
            </w:pPr>
          </w:p>
        </w:tc>
      </w:tr>
      <w:tr>
        <w:trPr>
          <w:trHeight w:val="54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 xml:space="preserve">Joseph Haydn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Times New Roman"/>
                <w:bCs/>
              </w:rPr>
            </w:pPr>
            <w:r>
              <w:rPr>
                <w:rFonts w:ascii="Mainz Meta" w:hAnsi="Mainz Meta" w:cs="Courier"/>
              </w:rPr>
              <w:t>(1732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hAnsi="Mainz Meta" w:cs="Courier"/>
              </w:rPr>
              <w:t>1809)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>Sonate C- Dur (Hob. XVI:35)</w:t>
            </w:r>
            <w:bookmarkStart w:id="0" w:name="_GoBack"/>
            <w:bookmarkEnd w:id="0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346"/>
              <w:rPr>
                <w:rFonts w:ascii="Mainz Meta" w:eastAsia="Times New Roman" w:hAnsi="Mainz Meta" w:cs="Times New Roman"/>
                <w:bCs/>
              </w:rPr>
            </w:pPr>
            <w:r>
              <w:rPr>
                <w:rFonts w:ascii="Mainz Meta" w:hAnsi="Mainz Meta" w:cs="Courier"/>
              </w:rPr>
              <w:t xml:space="preserve">1. Satz Allegro </w:t>
            </w:r>
            <w:proofErr w:type="spellStart"/>
            <w:r>
              <w:rPr>
                <w:rFonts w:ascii="Mainz Meta" w:hAnsi="Mainz Meta" w:cs="Courier"/>
              </w:rPr>
              <w:t>con</w:t>
            </w:r>
            <w:proofErr w:type="spellEnd"/>
            <w:r>
              <w:rPr>
                <w:rFonts w:ascii="Mainz Meta" w:hAnsi="Mainz Meta" w:cs="Courier"/>
              </w:rPr>
              <w:t xml:space="preserve"> </w:t>
            </w:r>
            <w:proofErr w:type="spellStart"/>
            <w:r>
              <w:rPr>
                <w:rFonts w:ascii="Mainz Meta" w:hAnsi="Mainz Meta" w:cs="Courier"/>
              </w:rPr>
              <w:t>brio</w:t>
            </w:r>
            <w:proofErr w:type="spellEnd"/>
            <w:r>
              <w:rPr>
                <w:rFonts w:ascii="Mainz Meta" w:hAnsi="Mainz Meta" w:cs="Courier"/>
              </w:rPr>
              <w:t xml:space="preserve"> </w:t>
            </w:r>
          </w:p>
        </w:tc>
      </w:tr>
      <w:tr>
        <w:trPr>
          <w:trHeight w:val="549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  <w:i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49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  <w:i/>
              </w:rPr>
            </w:pPr>
          </w:p>
        </w:tc>
      </w:tr>
      <w:tr>
        <w:trPr>
          <w:trHeight w:val="57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 xml:space="preserve">Domenico Scarlatti  </w:t>
            </w:r>
            <w:r>
              <w:rPr>
                <w:rFonts w:ascii="Mainz Meta" w:hAnsi="Mainz Meta" w:cs="Courier"/>
              </w:rPr>
              <w:br/>
              <w:t>(1685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hAnsi="Mainz Meta" w:cs="Courier"/>
              </w:rPr>
              <w:t>1757)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 xml:space="preserve">Sonate E-Dur K.380  </w:t>
            </w:r>
          </w:p>
        </w:tc>
      </w:tr>
      <w:tr>
        <w:trPr>
          <w:trHeight w:val="846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 xml:space="preserve">Felix Mendelssohn-Bartholdy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>(1809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hAnsi="Mainz Meta" w:cs="Courier"/>
              </w:rPr>
              <w:t>1847)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  <w:r>
              <w:rPr>
                <w:rFonts w:ascii="Mainz Meta" w:hAnsi="Mainz Meta" w:cs="Courier"/>
              </w:rPr>
              <w:t>Lied ohne Worte g-Moll op.53, Nr.3</w:t>
            </w:r>
          </w:p>
        </w:tc>
      </w:tr>
      <w:tr>
        <w:trPr>
          <w:trHeight w:val="846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577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ourier"/>
              </w:rPr>
            </w:pP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Mainz Meta" w:hAnsi="Mainz Meta" w:cs="Courier"/>
                <w:i/>
              </w:rPr>
            </w:pPr>
          </w:p>
        </w:tc>
      </w:tr>
      <w:tr>
        <w:trPr>
          <w:trHeight w:val="846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Calibri"/>
                <w:b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Johann Sebastian Bach</w:t>
            </w:r>
          </w:p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(1685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1750)</w:t>
            </w:r>
          </w:p>
        </w:tc>
        <w:tc>
          <w:tcPr>
            <w:tcW w:w="5648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proofErr w:type="spellStart"/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Präludium</w:t>
            </w:r>
            <w:proofErr w:type="spellEnd"/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 xml:space="preserve"> und </w:t>
            </w:r>
            <w:proofErr w:type="spellStart"/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Fughette</w:t>
            </w:r>
            <w:proofErr w:type="spellEnd"/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 xml:space="preserve"> G-</w:t>
            </w:r>
            <w:proofErr w:type="spellStart"/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Dur</w:t>
            </w:r>
            <w:proofErr w:type="spellEnd"/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 xml:space="preserve"> (BWV 902/1a)</w:t>
            </w:r>
          </w:p>
        </w:tc>
      </w:tr>
      <w:tr>
        <w:trPr>
          <w:trHeight w:val="846"/>
        </w:trPr>
        <w:tc>
          <w:tcPr>
            <w:tcW w:w="36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eastAsia="Times New Roman" w:hAnsi="Mainz Meta" w:cs="Calibri"/>
                <w:b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Joseph Haydn</w:t>
            </w:r>
          </w:p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(1732</w:t>
            </w:r>
            <w:r>
              <w:rPr>
                <w:rFonts w:ascii="Mainz Meta" w:eastAsia="Times New Roman" w:hAnsi="Mainz Meta" w:cs="Times New Roman"/>
                <w:color w:val="auto"/>
                <w:bdr w:val="none" w:sz="0" w:space="0" w:color="auto"/>
              </w:rPr>
              <w:t>–</w:t>
            </w:r>
            <w:r>
              <w:rPr>
                <w:rFonts w:ascii="Mainz Meta" w:eastAsia="Times New Roman" w:hAnsi="Mainz Meta" w:cs="Calibri"/>
                <w:bCs/>
                <w:color w:val="auto"/>
                <w:lang w:val="en-US"/>
              </w:rPr>
              <w:t>1809)</w:t>
            </w:r>
          </w:p>
        </w:tc>
        <w:tc>
          <w:tcPr>
            <w:tcW w:w="564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ainz Meta" w:hAnsi="Mainz Meta" w:cs="Calibri"/>
                <w:color w:val="auto"/>
                <w:lang w:val="en-US"/>
              </w:rPr>
            </w:pPr>
            <w:proofErr w:type="spellStart"/>
            <w:r>
              <w:rPr>
                <w:rFonts w:ascii="Mainz Meta" w:hAnsi="Mainz Meta" w:cs="Calibri"/>
                <w:color w:val="auto"/>
                <w:lang w:val="en-US"/>
              </w:rPr>
              <w:t>Sonate</w:t>
            </w:r>
            <w:proofErr w:type="spellEnd"/>
            <w:r>
              <w:rPr>
                <w:rFonts w:ascii="Mainz Meta" w:hAnsi="Mainz Meta" w:cs="Calibri"/>
                <w:color w:val="auto"/>
                <w:lang w:val="en-US"/>
              </w:rPr>
              <w:t xml:space="preserve"> h-Moll (Hob XVI:32)</w:t>
            </w:r>
          </w:p>
          <w:p>
            <w:pPr>
              <w:spacing w:after="0" w:line="240" w:lineRule="auto"/>
              <w:ind w:firstLine="346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r>
              <w:rPr>
                <w:rFonts w:ascii="Mainz Meta" w:hAnsi="Mainz Meta" w:cs="Calibri"/>
                <w:color w:val="auto"/>
                <w:lang w:val="en-US"/>
              </w:rPr>
              <w:t>I. Allegro moderato</w:t>
            </w:r>
          </w:p>
        </w:tc>
      </w:tr>
      <w:tr>
        <w:trPr>
          <w:trHeight w:val="485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</w:pPr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Max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Klavier</w:t>
            </w:r>
            <w:proofErr w:type="spellEnd"/>
          </w:p>
          <w:p>
            <w:pPr>
              <w:spacing w:after="0" w:line="240" w:lineRule="auto"/>
              <w:jc w:val="right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Klasse</w:t>
            </w:r>
            <w:proofErr w:type="spellEnd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 xml:space="preserve">: Mimi </w:t>
            </w:r>
            <w:proofErr w:type="spellStart"/>
            <w:r>
              <w:rPr>
                <w:rFonts w:ascii="Mainz Meta" w:eastAsia="Times New Roman" w:hAnsi="Mainz Meta" w:cs="Calibri"/>
                <w:i/>
                <w:iCs/>
                <w:color w:val="auto"/>
                <w:lang w:val="en-US"/>
              </w:rPr>
              <w:t>Mustermann</w:t>
            </w:r>
            <w:proofErr w:type="spellEnd"/>
          </w:p>
        </w:tc>
      </w:tr>
      <w:tr>
        <w:trPr>
          <w:trHeight w:val="485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Mainz Meta" w:eastAsia="Times New Roman" w:hAnsi="Mainz Meta" w:cs="Calibri"/>
                <w:iCs/>
                <w:color w:val="auto"/>
                <w:lang w:val="en-US"/>
              </w:rPr>
            </w:pPr>
          </w:p>
        </w:tc>
        <w:tc>
          <w:tcPr>
            <w:tcW w:w="5648" w:type="dxa"/>
          </w:tcPr>
          <w:p>
            <w:pPr>
              <w:spacing w:after="0" w:line="240" w:lineRule="auto"/>
              <w:jc w:val="right"/>
              <w:rPr>
                <w:rFonts w:ascii="Mainz Meta" w:hAnsi="Mainz Meta" w:cs="Calibri"/>
                <w:i/>
                <w:color w:val="auto"/>
              </w:rPr>
            </w:pPr>
          </w:p>
        </w:tc>
      </w:tr>
    </w:tbl>
    <w:p>
      <w:pPr>
        <w:spacing w:after="0" w:line="240" w:lineRule="auto"/>
        <w:rPr>
          <w:rFonts w:ascii="FagoNoRegular-Roman" w:hAnsi="FagoNoRegular-Roman"/>
        </w:rPr>
      </w:pPr>
    </w:p>
    <w:sectPr>
      <w:headerReference w:type="default" r:id="rId8"/>
      <w:footerReference w:type="default" r:id="rId9"/>
      <w:pgSz w:w="11900" w:h="16840"/>
      <w:pgMar w:top="426" w:right="1417" w:bottom="113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agoNoRegular-Roman">
    <w:panose1 w:val="02000506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B87"/>
    <w:multiLevelType w:val="hybridMultilevel"/>
    <w:tmpl w:val="CFB6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74AF"/>
    <w:multiLevelType w:val="hybridMultilevel"/>
    <w:tmpl w:val="4CFE2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C98"/>
    <w:multiLevelType w:val="hybridMultilevel"/>
    <w:tmpl w:val="E6A85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2A1D"/>
    <w:multiLevelType w:val="hybridMultilevel"/>
    <w:tmpl w:val="46A0F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C68A8"/>
    <w:multiLevelType w:val="hybridMultilevel"/>
    <w:tmpl w:val="807C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5E11"/>
    <w:multiLevelType w:val="hybridMultilevel"/>
    <w:tmpl w:val="31143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6889"/>
    <w:multiLevelType w:val="hybridMultilevel"/>
    <w:tmpl w:val="426A3DC2"/>
    <w:lvl w:ilvl="0" w:tplc="60AE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663A3"/>
    <w:multiLevelType w:val="hybridMultilevel"/>
    <w:tmpl w:val="B2E6A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4B03-4B68-41F5-9B01-C7EB557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3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73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0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Stamm</dc:creator>
  <cp:lastModifiedBy>Alina Seibel</cp:lastModifiedBy>
  <cp:revision>13</cp:revision>
  <cp:lastPrinted>2024-03-20T12:06:00Z</cp:lastPrinted>
  <dcterms:created xsi:type="dcterms:W3CDTF">2024-04-26T10:29:00Z</dcterms:created>
  <dcterms:modified xsi:type="dcterms:W3CDTF">2024-04-26T10:36:00Z</dcterms:modified>
</cp:coreProperties>
</file>